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1E8E" w14:textId="0F07183B" w:rsidR="000202B3" w:rsidRDefault="000202B3" w:rsidP="000202B3">
      <w:pPr>
        <w:pStyle w:val="2"/>
        <w:shd w:val="clear" w:color="auto" w:fill="FFFFFF"/>
        <w:spacing w:before="0" w:after="375"/>
        <w:jc w:val="both"/>
        <w:rPr>
          <w:rFonts w:eastAsia="Times New Roman"/>
          <w:b w:val="0"/>
          <w:bCs w:val="0"/>
          <w:color w:val="203864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FBBA0D" wp14:editId="41FC2FBA">
            <wp:extent cx="5274310" cy="126555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4046" w14:textId="79B2B2FA" w:rsidR="00330679" w:rsidRPr="00330679" w:rsidRDefault="00330679" w:rsidP="00330679">
      <w:pPr>
        <w:pStyle w:val="2"/>
        <w:shd w:val="clear" w:color="auto" w:fill="FFFFFF"/>
        <w:spacing w:before="0" w:beforeAutospacing="0" w:after="375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0"/>
          <w:szCs w:val="20"/>
          <w:u w:val="single"/>
        </w:rPr>
      </w:pPr>
      <w:r w:rsidRPr="00330679">
        <w:rPr>
          <w:rFonts w:asciiTheme="minorHAnsi" w:eastAsia="Times New Roman" w:hAnsiTheme="minorHAnsi" w:cstheme="minorHAnsi"/>
          <w:b w:val="0"/>
          <w:bCs w:val="0"/>
          <w:color w:val="203864"/>
          <w:sz w:val="20"/>
          <w:szCs w:val="20"/>
        </w:rPr>
        <w:t>δημοσίευση: 18 Οκτ 2022</w:t>
      </w:r>
    </w:p>
    <w:p w14:paraId="64809A4A" w14:textId="38A921AB" w:rsidR="000202B3" w:rsidRPr="000202B3" w:rsidRDefault="000202B3" w:rsidP="000202B3">
      <w:pPr>
        <w:pStyle w:val="2"/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Η ΙΑΤΑ εταιρία </w:t>
      </w:r>
      <w:hyperlink r:id="rId6" w:history="1">
        <w:proofErr w:type="spellStart"/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1F3864" w:themeColor="accent1" w:themeShade="80"/>
            <w:sz w:val="28"/>
            <w:szCs w:val="28"/>
          </w:rPr>
          <w:t>Theotokis</w:t>
        </w:r>
        <w:proofErr w:type="spellEnd"/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1F3864" w:themeColor="accent1" w:themeShade="80"/>
            <w:sz w:val="28"/>
            <w:szCs w:val="28"/>
          </w:rPr>
          <w:t xml:space="preserve"> </w:t>
        </w:r>
        <w:proofErr w:type="spellStart"/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1F3864" w:themeColor="accent1" w:themeShade="80"/>
            <w:sz w:val="28"/>
            <w:szCs w:val="28"/>
          </w:rPr>
          <w:t>Travel</w:t>
        </w:r>
        <w:proofErr w:type="spellEnd"/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1F3864" w:themeColor="accent1" w:themeShade="80"/>
            <w:sz w:val="28"/>
            <w:szCs w:val="28"/>
          </w:rPr>
          <w:t xml:space="preserve"> </w:t>
        </w:r>
        <w:proofErr w:type="spellStart"/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1F3864" w:themeColor="accent1" w:themeShade="80"/>
            <w:sz w:val="28"/>
            <w:szCs w:val="28"/>
          </w:rPr>
          <w:t>Congresses</w:t>
        </w:r>
        <w:proofErr w:type="spellEnd"/>
      </w:hyperlink>
      <w:r w:rsidRPr="000202B3">
        <w:rPr>
          <w:rFonts w:asciiTheme="minorHAnsi" w:eastAsia="Times New Roman" w:hAnsiTheme="minorHAnsi" w:cstheme="minorHAnsi"/>
          <w:b w:val="0"/>
          <w:bCs w:val="0"/>
          <w:color w:val="1F3864" w:themeColor="accent1" w:themeShade="80"/>
          <w:sz w:val="28"/>
          <w:szCs w:val="28"/>
        </w:rPr>
        <w:t xml:space="preserve"> </w:t>
      </w: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με δραστηριότητα 33 ετών και έδρα το Χαλάνδρι αναζητά προσωπικό για να προσφέρει επαγγελματική εμπειρία. Στόχος μας είναι το εκπαιδευόμενο άτομο να παραμείνει μαζί μας μετά την ολοκλήρωση της Πρακτικής Άσκησης.</w:t>
      </w:r>
    </w:p>
    <w:p w14:paraId="34AC01D1" w14:textId="1AA74C70" w:rsidR="000202B3" w:rsidRPr="000202B3" w:rsidRDefault="000202B3" w:rsidP="000202B3">
      <w:pPr>
        <w:pStyle w:val="2"/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Ο/Η ασκούμενος/-η θα λειτουργεί ως σημείο επαφής μεταξύ στελεχών, προμηθευτών και πελατών. Θα έχει την ευκαιρία να μετεκπαιδευτεί σε όλο τον κύκλο εργασιών. </w:t>
      </w:r>
    </w:p>
    <w:p w14:paraId="45CE8F35" w14:textId="77777777" w:rsidR="000202B3" w:rsidRPr="000202B3" w:rsidRDefault="000202B3" w:rsidP="000202B3">
      <w:pPr>
        <w:pStyle w:val="2"/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>Ενδεικτικά:</w:t>
      </w:r>
    </w:p>
    <w:p w14:paraId="2058CDC1" w14:textId="77777777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 xml:space="preserve">Air Ticketing </w:t>
      </w: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– </w:t>
      </w: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 xml:space="preserve">Amadeus, </w:t>
      </w:r>
      <w:proofErr w:type="spellStart"/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Farelogix</w:t>
      </w:r>
      <w:proofErr w:type="spellEnd"/>
    </w:p>
    <w:p w14:paraId="09DA355D" w14:textId="77777777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Ferry Ticketing</w:t>
      </w: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 – </w:t>
      </w:r>
      <w:proofErr w:type="spellStart"/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Liknoss</w:t>
      </w:r>
      <w:proofErr w:type="spellEnd"/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, Certus</w:t>
      </w:r>
    </w:p>
    <w:p w14:paraId="133DF8DF" w14:textId="77777777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Hotel Reservations</w:t>
      </w:r>
    </w:p>
    <w:p w14:paraId="4B812C72" w14:textId="30BEAF59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B2B booking engines</w:t>
      </w:r>
    </w:p>
    <w:p w14:paraId="1E59A919" w14:textId="6D27B695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after="375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 xml:space="preserve">MICE &amp; Corporate Travel </w:t>
      </w:r>
    </w:p>
    <w:p w14:paraId="7B48BE6F" w14:textId="77777777" w:rsidR="000202B3" w:rsidRPr="000202B3" w:rsidRDefault="000202B3" w:rsidP="000202B3">
      <w:pPr>
        <w:pStyle w:val="2"/>
        <w:numPr>
          <w:ilvl w:val="0"/>
          <w:numId w:val="3"/>
        </w:numPr>
        <w:shd w:val="clear" w:color="auto" w:fill="FFFFFF"/>
        <w:spacing w:before="0" w:beforeAutospacing="0" w:after="375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>Leisure &amp; Travel Packages</w:t>
      </w:r>
    </w:p>
    <w:p w14:paraId="3C649221" w14:textId="7FD02A6D" w:rsidR="000202B3" w:rsidRDefault="000202B3" w:rsidP="000202B3">
      <w:pPr>
        <w:pStyle w:val="2"/>
        <w:shd w:val="clear" w:color="auto" w:fill="FFFFFF"/>
        <w:spacing w:before="0" w:beforeAutospacing="0" w:after="375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</w:pPr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</w:rPr>
        <w:t xml:space="preserve">Επικοινωνία: </w:t>
      </w:r>
      <w:hyperlink r:id="rId7" w:history="1">
        <w:r w:rsidRPr="000202B3">
          <w:rPr>
            <w:rStyle w:val="-"/>
            <w:rFonts w:asciiTheme="minorHAnsi" w:eastAsia="Times New Roman" w:hAnsiTheme="minorHAnsi" w:cstheme="minorHAnsi"/>
            <w:b w:val="0"/>
            <w:bCs w:val="0"/>
            <w:color w:val="203864"/>
            <w:sz w:val="28"/>
            <w:szCs w:val="28"/>
            <w:lang w:val="en-US"/>
          </w:rPr>
          <w:t>you@theotokistravel.gr</w:t>
        </w:r>
      </w:hyperlink>
      <w:r w:rsidRPr="000202B3">
        <w:rPr>
          <w:rFonts w:asciiTheme="minorHAnsi" w:eastAsia="Times New Roman" w:hAnsiTheme="minorHAnsi" w:cstheme="minorHAnsi"/>
          <w:b w:val="0"/>
          <w:bCs w:val="0"/>
          <w:color w:val="203864"/>
          <w:sz w:val="28"/>
          <w:szCs w:val="28"/>
          <w:lang w:val="en-US"/>
        </w:rPr>
        <w:t xml:space="preserve"> </w:t>
      </w:r>
    </w:p>
    <w:p w14:paraId="49CE65F9" w14:textId="71ADEA74" w:rsidR="00521E7D" w:rsidRDefault="00521E7D"/>
    <w:p w14:paraId="380855E2" w14:textId="32D38EC0" w:rsidR="000202B3" w:rsidRDefault="000202B3"/>
    <w:p w14:paraId="791838CF" w14:textId="77777777" w:rsidR="000202B3" w:rsidRDefault="000202B3"/>
    <w:sectPr w:rsidR="00020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8ED"/>
    <w:multiLevelType w:val="hybridMultilevel"/>
    <w:tmpl w:val="397E16BE"/>
    <w:lvl w:ilvl="0" w:tplc="BA66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6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8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8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1C011D"/>
    <w:multiLevelType w:val="hybridMultilevel"/>
    <w:tmpl w:val="C0E82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EB3"/>
    <w:multiLevelType w:val="multilevel"/>
    <w:tmpl w:val="B72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33"/>
    <w:rsid w:val="000202B3"/>
    <w:rsid w:val="00330679"/>
    <w:rsid w:val="00521E7D"/>
    <w:rsid w:val="00A81EDD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4A08"/>
  <w15:chartTrackingRefBased/>
  <w15:docId w15:val="{B1800212-6D8E-4172-9540-676A651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6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033"/>
    <w:pPr>
      <w:ind w:right="0"/>
      <w:jc w:val="left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FC60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C6033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FC603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2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332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28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36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33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728">
          <w:marLeft w:val="28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Iordanidis</dc:creator>
  <cp:keywords/>
  <dc:description/>
  <cp:lastModifiedBy>SERGOPOULOS KONSTANTINOS</cp:lastModifiedBy>
  <cp:revision>2</cp:revision>
  <dcterms:created xsi:type="dcterms:W3CDTF">2022-10-31T19:58:00Z</dcterms:created>
  <dcterms:modified xsi:type="dcterms:W3CDTF">2022-10-31T19:58:00Z</dcterms:modified>
</cp:coreProperties>
</file>