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26" w:rsidRPr="00850A05" w:rsidRDefault="00850A05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EVENT MANAGEMENT</w:t>
      </w:r>
    </w:p>
    <w:p w:rsidR="00A40F2D" w:rsidRPr="00A40F2D" w:rsidRDefault="00A40F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A40F2D" w:rsidRPr="00A40F2D" w:rsidRDefault="00A40F2D" w:rsidP="00A40F2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 xml:space="preserve">This is a key introductory course in </w:t>
      </w:r>
      <w:r w:rsidR="00850A05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coordinating and carrying out Events</w:t>
      </w: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.</w:t>
      </w:r>
    </w:p>
    <w:p w:rsidR="00A40F2D" w:rsidRPr="00A40F2D" w:rsidRDefault="00A40F2D" w:rsidP="00A40F2D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lang w:val="en-US"/>
        </w:rPr>
        <w:t xml:space="preserve">The aim of this course is to 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provide students with the necessary knowledge in order to create</w:t>
      </w:r>
      <w:r w:rsidR="00850A05" w:rsidRPr="00850A05">
        <w:rPr>
          <w:rFonts w:ascii="Arial" w:hAnsi="Arial" w:cs="Arial"/>
          <w:color w:val="333333"/>
          <w:sz w:val="18"/>
          <w:szCs w:val="18"/>
          <w:lang w:val="en-US"/>
        </w:rPr>
        <w:t xml:space="preserve"> executives able to apply knowledge and practices on the contemporary organization, overall management, co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ordination</w:t>
      </w:r>
      <w:r w:rsidR="00850A05" w:rsidRPr="00850A05">
        <w:rPr>
          <w:rFonts w:ascii="Arial" w:hAnsi="Arial" w:cs="Arial"/>
          <w:color w:val="333333"/>
          <w:sz w:val="18"/>
          <w:szCs w:val="18"/>
          <w:lang w:val="en-US"/>
        </w:rPr>
        <w:t xml:space="preserve"> and crisis management of conferences and 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other types of events.</w:t>
      </w:r>
    </w:p>
    <w:p w:rsidR="00850A05" w:rsidRPr="00850A05" w:rsidRDefault="00850A05" w:rsidP="00850A05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lang w:val="en-US"/>
        </w:rPr>
        <w:t>Upon successful completion of the course students will be able to:</w:t>
      </w:r>
    </w:p>
    <w:p w:rsidR="00BB2132" w:rsidRDefault="00BB2132" w:rsidP="00EF1244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Distinguish all types of Events</w:t>
      </w:r>
    </w:p>
    <w:p w:rsidR="00BB2132" w:rsidRDefault="00BB2132" w:rsidP="0052447F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 and analyze the structure of the market of professional events (MICE tourism)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 and analyze the structure of the conference market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Manage the components of a conference event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</w:t>
      </w:r>
      <w:r>
        <w:rPr>
          <w:rFonts w:ascii="Arial" w:hAnsi="Arial" w:cs="Arial"/>
          <w:color w:val="333333"/>
          <w:sz w:val="18"/>
          <w:szCs w:val="18"/>
          <w:lang w:val="en-US"/>
        </w:rPr>
        <w:t xml:space="preserve"> methods of conferencing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Perform all necessary actions at all stages of organizing a conference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Manage contemporary conference programs (congress and e-congress)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Select the most appropriate formats for vie</w:t>
      </w:r>
      <w:r>
        <w:rPr>
          <w:rFonts w:ascii="Arial" w:hAnsi="Arial" w:cs="Arial"/>
          <w:color w:val="333333"/>
          <w:sz w:val="18"/>
          <w:szCs w:val="18"/>
          <w:lang w:val="en-US"/>
        </w:rPr>
        <w:t>wing and promoting a conference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Manage effectively the crises that may 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>occur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before or during an event (crisis management),</w:t>
      </w:r>
    </w:p>
    <w:p w:rsidR="00A40F2D" w:rsidRP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Organize contemporary ecological conferences</w:t>
      </w:r>
    </w:p>
    <w:p w:rsidR="00A40F2D" w:rsidRPr="00A40F2D" w:rsidRDefault="00A40F2D" w:rsidP="00A40F2D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18"/>
          <w:szCs w:val="18"/>
          <w:u w:val="single"/>
          <w:lang w:val="en-US"/>
        </w:rPr>
      </w:pPr>
      <w:r w:rsidRPr="00A40F2D">
        <w:rPr>
          <w:rFonts w:ascii="Arial" w:hAnsi="Arial" w:cs="Arial"/>
          <w:b/>
          <w:color w:val="333333"/>
          <w:sz w:val="18"/>
          <w:szCs w:val="18"/>
          <w:u w:val="single"/>
          <w:lang w:val="en-US"/>
        </w:rPr>
        <w:t>MODULE DESCRIPTION</w:t>
      </w:r>
    </w:p>
    <w:p w:rsidR="00BB2132" w:rsidRDefault="00A40F2D" w:rsidP="00A40F2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The course is organized around topics such as:</w:t>
      </w:r>
    </w:p>
    <w:p w:rsidR="00BB2132" w:rsidRDefault="00BB2132" w:rsidP="008A7BF7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Theoretical approach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 xml:space="preserve"> of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the concepts of events, business events and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 xml:space="preserve"> MICE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tourism </w:t>
      </w:r>
    </w:p>
    <w:p w:rsidR="00BC14D1" w:rsidRDefault="00BB2132" w:rsidP="008A7BF7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The impact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s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of MICE tourism and in particular conference tourism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on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the destination. 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Statistics and the position of Greece in the global conference map.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Types and characteristics of corporate meetings and business trips, incentive trips, exhibitions and conferences. 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Analysis of the professional events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 xml:space="preserve"> market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with an emphasis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to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the market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of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conference and exhibition tourism. </w:t>
      </w:r>
    </w:p>
    <w:p w:rsidR="00BC14D1" w:rsidRDefault="00BB2132" w:rsidP="0067491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organizational process of motivation and exhibition tourism.</w:t>
      </w:r>
    </w:p>
    <w:p w:rsidR="00BC14D1" w:rsidRDefault="00BB2132" w:rsidP="0067491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process of taking over an international conference event (Bidding) and the role of the Convention and Visitors Bureau (CVB). 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marketing of the conference event, funding sources and sponsors.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full process of organizing, conducting and reporting a scientific conference: Evaluation and selection of professional conference organizer (PCO) of the organizing body, the organizational structure of the PCO, services provided by PCO and their 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>collaboration contract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>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conference organizer's </w:t>
      </w:r>
      <w:r w:rsidRPr="00C626F1">
        <w:rPr>
          <w:rFonts w:ascii="Arial" w:hAnsi="Arial" w:cs="Arial"/>
          <w:color w:val="333333"/>
          <w:sz w:val="18"/>
          <w:szCs w:val="18"/>
          <w:lang w:val="en-US"/>
        </w:rPr>
        <w:t>co</w:t>
      </w:r>
      <w:r w:rsidR="00C626F1" w:rsidRPr="00C626F1">
        <w:rPr>
          <w:rFonts w:ascii="Arial" w:hAnsi="Arial" w:cs="Arial"/>
          <w:color w:val="333333"/>
          <w:sz w:val="18"/>
          <w:szCs w:val="18"/>
          <w:lang w:val="en-US"/>
        </w:rPr>
        <w:t>llaboration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with hotels: the hotel selection process, the negotiation policy, the awarding of the event and the cooperation contract. Conduct and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 xml:space="preserve"> review of the conference.</w:t>
      </w:r>
    </w:p>
    <w:p w:rsidR="00BC14D1" w:rsidRDefault="00506EAD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Collaboration</w:t>
      </w:r>
      <w:r w:rsidR="00BB2132"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of the conference organizer with </w:t>
      </w:r>
      <w:r>
        <w:rPr>
          <w:rFonts w:ascii="Arial" w:hAnsi="Arial" w:cs="Arial"/>
          <w:color w:val="333333"/>
          <w:sz w:val="18"/>
          <w:szCs w:val="18"/>
          <w:lang w:val="en-US"/>
        </w:rPr>
        <w:t>transportation</w:t>
      </w:r>
      <w:r w:rsidR="00BB2132"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and transfer companies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Collaboration of the conference organizer with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conference halls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and venues.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Modern Technological Equipment and technical specifications of facilities and equipment. The collaboration with the technical support companies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organizational process of the conference in stages and a timetable of actions.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Managing the scientific part of the conference: Communicating with delegates, guest speakers-coordinators-chairmen of round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tables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>. Actions during the conference.</w:t>
      </w:r>
    </w:p>
    <w:p w:rsidR="00BC14D1" w:rsidRDefault="00BB2132" w:rsidP="00BC14D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Crisis Management. Actions before and after the end of the conference.</w:t>
      </w:r>
    </w:p>
    <w:p w:rsidR="00BB2132" w:rsidRPr="00BC14D1" w:rsidRDefault="00BB2132" w:rsidP="00BC14D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Organization of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Ecological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Conferences and Events - Green Meetings &amp; Events</w:t>
      </w:r>
    </w:p>
    <w:sectPr w:rsidR="00BB2132" w:rsidRPr="00BC1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137A"/>
    <w:multiLevelType w:val="hybridMultilevel"/>
    <w:tmpl w:val="1DB648BC"/>
    <w:lvl w:ilvl="0" w:tplc="520E7C3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3B27"/>
    <w:multiLevelType w:val="hybridMultilevel"/>
    <w:tmpl w:val="1EFE4ECC"/>
    <w:lvl w:ilvl="0" w:tplc="801C38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BA2"/>
    <w:multiLevelType w:val="hybridMultilevel"/>
    <w:tmpl w:val="266EC15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2D"/>
    <w:rsid w:val="00506EAD"/>
    <w:rsid w:val="00850A05"/>
    <w:rsid w:val="008D5D26"/>
    <w:rsid w:val="00A3443F"/>
    <w:rsid w:val="00A40F2D"/>
    <w:rsid w:val="00BB2132"/>
    <w:rsid w:val="00BC14D1"/>
    <w:rsid w:val="00C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9E3E-FC22-4BF8-9807-05307E1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50A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SERGOPOULOS KONSTANTINOS</cp:lastModifiedBy>
  <cp:revision>2</cp:revision>
  <dcterms:created xsi:type="dcterms:W3CDTF">2023-09-08T13:31:00Z</dcterms:created>
  <dcterms:modified xsi:type="dcterms:W3CDTF">2023-09-08T13:31:00Z</dcterms:modified>
</cp:coreProperties>
</file>