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63" w:rsidRDefault="00CF5665" w:rsidP="00C32563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Αγαπητές φοιτήτριες και αγαπητοί φοιτητές,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ας ενημερώνουμε ότι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υποβολή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αίτησης για την παράταση της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βάσει ακαδημαϊκών κριτηρίων, την </w:t>
      </w:r>
      <w:r w:rsidR="006B059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παράταση</w:t>
      </w:r>
      <w:r w:rsidR="007C33F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χρονικής διάρκειας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φοίτησης για σοβαρούς λόγους υγείας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ή εξαίρεσης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της ανώτατης χρονικής διάρκειας φοίτησης λόγω πιστοποιημένης αναπηρίας με ποσοστό τουλάχιστον 50%</w:t>
      </w:r>
      <w:r w:rsidR="00D3186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γίνεται στον παρακάτω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ηλεκτρονικό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σύνδεσμο, με τη χρήση των ιδρυματικών κωδικών σας:</w:t>
      </w:r>
    </w:p>
    <w:p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  <w:hyperlink r:id="rId4" w:tgtFrame="_blank" w:tooltip="https://app.merimna.uniwa.gr/" w:history="1">
        <w:r w:rsidRPr="00CF566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https://app.merimna.uniwa.gr/</w:t>
        </w:r>
      </w:hyperlink>
    </w:p>
    <w:p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</w:p>
    <w:p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Η αίτηση 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υποβάλλεται</w:t>
      </w: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αποκλειστικά από 20/10/2025 έως και 21/11/2025.</w:t>
      </w:r>
    </w:p>
    <w:p w:rsidR="000E35CC" w:rsidRPr="007B7C02" w:rsidRDefault="000E35CC" w:rsidP="000E35CC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Σημειώνουμε ότι στην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περίπτωση που έχετε ξεχάσει τους κωδικούς, μπορείτε να κάνετε ανάκτηση σύμφωνα με τις οδηγίες</w:t>
      </w:r>
      <w:r w:rsidRPr="00380805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στον ακόλουθο</w:t>
      </w:r>
      <w:r w:rsidR="00AC4A5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ηλεκτρονικό</w:t>
      </w:r>
      <w:bookmarkStart w:id="0" w:name="_GoBack"/>
      <w:bookmarkEnd w:id="0"/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σύνδεσμο:</w:t>
      </w:r>
    </w:p>
    <w:p w:rsidR="000E35CC" w:rsidRPr="000E35CC" w:rsidRDefault="000E35CC" w:rsidP="000E35CC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  <w:hyperlink r:id="rId5" w:history="1">
        <w:r w:rsidRPr="000E35CC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https://wiki.noc.uniwa.gr/doku.php?id=my_uniwa_service</w:t>
        </w:r>
      </w:hyperlink>
    </w:p>
    <w:p w:rsidR="000E35CC" w:rsidRDefault="000E35CC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C32563" w:rsidRPr="001646B0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Επισημαίνεται ότι μπορείτε να κάνετε αίτηση για μια 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ΜΟΝΟ από τις 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κατωτέρω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περ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ι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πτ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ώσεις.</w:t>
      </w: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A)</w:t>
      </w:r>
      <w:r w:rsidRPr="00CF5665">
        <w:t xml:space="preserve"> </w:t>
      </w:r>
      <w:r w:rsidR="000C61B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ίτηση παράτασης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βάσει ακαδημαϊκών κριτηρίων,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9083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μπορείτε να κάνετε:</w:t>
      </w:r>
    </w:p>
    <w:p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Α.1)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δύο (2) επιπλέον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α) Κατά τον χρόνο υποβολής της αίτησης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σε ποσοστό τουλάχιστον εβδομήντα τοις εκατό (70%) των πιστωτικών μονάδων (ECTS) του ισχύοντος προγράμματος σπουδών</w:t>
      </w:r>
      <w:r>
        <w:rPr>
          <w:rFonts w:eastAsia="Times New Roman" w:cstheme="minorHAnsi"/>
          <w:sz w:val="24"/>
          <w:szCs w:val="24"/>
          <w:lang w:eastAsia="el-GR"/>
        </w:rPr>
        <w:t>,</w:t>
      </w:r>
    </w:p>
    <w:p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και</w:t>
      </w:r>
    </w:p>
    <w:p w:rsidR="0043666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β)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διπλωματικής, </w:t>
      </w:r>
      <w:r w:rsidR="000C61B3" w:rsidRPr="000C61B3">
        <w:rPr>
          <w:rFonts w:eastAsia="Times New Roman" w:cstheme="minorHAnsi"/>
          <w:sz w:val="24"/>
          <w:szCs w:val="24"/>
          <w:lang w:eastAsia="el-GR"/>
        </w:rPr>
        <w:t>εκπόνηση</w:t>
      </w:r>
      <w:r w:rsidR="000C61B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B4103">
        <w:rPr>
          <w:rFonts w:eastAsia="Times New Roman" w:cstheme="minorHAnsi"/>
          <w:sz w:val="24"/>
          <w:szCs w:val="24"/>
          <w:lang w:eastAsia="el-GR"/>
        </w:rPr>
        <w:t>πρακτική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άσκηση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, σε ένα από τα τέσσερα (4) προηγούμενα ακαδημαϊκά εξάμηνα (ήτοι από την εξεταστική περίοδο του Ιανουαρίου 2024 έως και την εξεταστική περίοδο του Σεπτεμβρίου 2025). </w:t>
      </w:r>
    </w:p>
    <w:p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Α.2)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τρία (3)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:rsidR="00436663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Τ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ο πρόγραμμα σπουδών περιλαμβάνει την υποχρεωτική </w:t>
      </w:r>
      <w:bookmarkStart w:id="1" w:name="_Hlk211604059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εκπόνηση </w:t>
      </w:r>
      <w:bookmarkEnd w:id="1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πρακτικής άσκησης ή πτυχιακής ή διπλωματικής εργασίας, η οποία δεν έχει ολοκληρωθεί, και συντρέχουν οι παραπάνω προϋποθέσεις </w:t>
      </w:r>
      <w:r w:rsidR="000C61B3">
        <w:rPr>
          <w:rFonts w:eastAsia="Times New Roman" w:cstheme="minorHAnsi"/>
          <w:sz w:val="24"/>
          <w:szCs w:val="24"/>
          <w:lang w:eastAsia="el-GR"/>
        </w:rPr>
        <w:t>Α.1</w:t>
      </w:r>
      <w:r w:rsidR="002A402A">
        <w:rPr>
          <w:rFonts w:eastAsia="Times New Roman" w:cstheme="minorHAnsi"/>
          <w:sz w:val="24"/>
          <w:szCs w:val="24"/>
          <w:lang w:eastAsia="el-GR"/>
        </w:rPr>
        <w:t>,</w:t>
      </w:r>
    </w:p>
    <w:p w:rsidR="002A402A" w:rsidRDefault="002A402A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ή</w:t>
      </w:r>
    </w:p>
    <w:p w:rsidR="00436663" w:rsidRPr="002023A7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lastRenderedPageBreak/>
        <w:t>Έχετε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</w:t>
      </w:r>
      <w:r>
        <w:rPr>
          <w:rFonts w:eastAsia="Times New Roman" w:cstheme="minorHAnsi"/>
          <w:sz w:val="24"/>
          <w:szCs w:val="24"/>
          <w:lang w:eastAsia="el-GR"/>
        </w:rPr>
        <w:t>.</w:t>
      </w:r>
      <w:r w:rsidR="002F02D1">
        <w:rPr>
          <w:rFonts w:eastAsia="Times New Roman" w:cstheme="minorHAnsi"/>
          <w:sz w:val="24"/>
          <w:szCs w:val="24"/>
          <w:lang w:eastAsia="el-GR"/>
        </w:rPr>
        <w:t xml:space="preserve"> Σε αυτή την περίπτωση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02D1" w:rsidRPr="00C32563">
        <w:rPr>
          <w:rFonts w:eastAsia="Times New Roman" w:cstheme="minorHAnsi"/>
          <w:b/>
          <w:sz w:val="24"/>
          <w:szCs w:val="24"/>
          <w:lang w:eastAsia="el-GR"/>
        </w:rPr>
        <w:t>δ</w:t>
      </w:r>
      <w:r w:rsidR="00436663" w:rsidRPr="00C32563">
        <w:rPr>
          <w:rFonts w:eastAsia="Times New Roman" w:cstheme="minorHAnsi"/>
          <w:b/>
          <w:bCs/>
          <w:sz w:val="24"/>
          <w:szCs w:val="24"/>
          <w:lang w:eastAsia="el-GR"/>
        </w:rPr>
        <w:t>εν</w:t>
      </w:r>
      <w:r w:rsidR="00436663" w:rsidRPr="00CB410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απαιτείται η πλήρωση της προϋπόθεσης β) </w:t>
      </w:r>
      <w:r w:rsidR="002A402A">
        <w:rPr>
          <w:rFonts w:eastAsia="Times New Roman" w:cstheme="minorHAnsi"/>
          <w:sz w:val="24"/>
          <w:szCs w:val="24"/>
          <w:lang w:eastAsia="el-GR"/>
        </w:rPr>
        <w:t xml:space="preserve">της </w:t>
      </w:r>
      <w:r w:rsidR="002A402A">
        <w:rPr>
          <w:rFonts w:eastAsia="Times New Roman" w:cstheme="minorHAnsi"/>
          <w:sz w:val="24"/>
          <w:szCs w:val="24"/>
          <w:lang w:eastAsia="el-GR"/>
        </w:rPr>
        <w:t>Α.1</w:t>
      </w:r>
      <w:r w:rsidR="002F02D1">
        <w:rPr>
          <w:rFonts w:eastAsia="Times New Roman" w:cstheme="minorHAnsi"/>
          <w:sz w:val="24"/>
          <w:szCs w:val="24"/>
          <w:lang w:eastAsia="el-GR"/>
        </w:rPr>
        <w:t>..</w:t>
      </w:r>
    </w:p>
    <w:p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Β)</w:t>
      </w:r>
      <w:r w:rsidRPr="00CF5665">
        <w:t xml:space="preserve"> </w:t>
      </w:r>
      <w:r w:rsidR="00760EE1"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για ένα ακαδημαϊκό έτος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φοίτησης για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</w:r>
      <w:r w:rsidR="00760E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EC054C" w:rsidRPr="00CF5665" w:rsidRDefault="00EC054C" w:rsidP="00CF5665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Γ)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7E423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ίτηση εξαίρεσης της </w:t>
      </w:r>
      <w:r w:rsidR="004366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ανώτατης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 λόγω πιστοποιημένης αναπηρίας με ποσοστό τουλάχιστον 50%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1646B0" w:rsidRDefault="001646B0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504DE8" w:rsidRPr="00380805" w:rsidRDefault="00504DE8" w:rsidP="00CF5665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lang w:eastAsia="el-GR"/>
        </w:rPr>
      </w:pPr>
    </w:p>
    <w:p w:rsidR="00CF5665" w:rsidRDefault="00CF5665" w:rsidP="00CF5665">
      <w:pPr>
        <w:jc w:val="both"/>
      </w:pPr>
    </w:p>
    <w:p w:rsidR="00CF5665" w:rsidRDefault="00CF5665" w:rsidP="00CF5665">
      <w:pPr>
        <w:jc w:val="both"/>
      </w:pPr>
    </w:p>
    <w:p w:rsidR="00CF5665" w:rsidRDefault="00CF5665" w:rsidP="00CF5665">
      <w:pPr>
        <w:jc w:val="both"/>
      </w:pPr>
    </w:p>
    <w:p w:rsidR="00CF5665" w:rsidRDefault="00CF5665" w:rsidP="00CF5665">
      <w:pPr>
        <w:jc w:val="both"/>
      </w:pPr>
    </w:p>
    <w:p w:rsidR="00DE241B" w:rsidRDefault="00DE241B" w:rsidP="00CF5665">
      <w:pPr>
        <w:jc w:val="both"/>
      </w:pPr>
    </w:p>
    <w:sectPr w:rsidR="00DE2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C4"/>
    <w:rsid w:val="0009083C"/>
    <w:rsid w:val="000C61B3"/>
    <w:rsid w:val="000E35CC"/>
    <w:rsid w:val="001646B0"/>
    <w:rsid w:val="002A402A"/>
    <w:rsid w:val="002F02D1"/>
    <w:rsid w:val="00380805"/>
    <w:rsid w:val="00436663"/>
    <w:rsid w:val="004E73C4"/>
    <w:rsid w:val="00504DE8"/>
    <w:rsid w:val="006B059A"/>
    <w:rsid w:val="00717603"/>
    <w:rsid w:val="00760EE1"/>
    <w:rsid w:val="007B7C02"/>
    <w:rsid w:val="007C33FD"/>
    <w:rsid w:val="007E423D"/>
    <w:rsid w:val="00842ED1"/>
    <w:rsid w:val="00AC4A5C"/>
    <w:rsid w:val="00C32563"/>
    <w:rsid w:val="00C832E0"/>
    <w:rsid w:val="00CE2363"/>
    <w:rsid w:val="00CF5665"/>
    <w:rsid w:val="00D31861"/>
    <w:rsid w:val="00DE241B"/>
    <w:rsid w:val="00E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82FB"/>
  <w15:chartTrackingRefBased/>
  <w15:docId w15:val="{86705038-07A2-4FA2-B2C4-2144FCC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E73C4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38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i.noc.uniwa.gr/doku.php?id=my_uniwa_service" TargetMode="External"/><Relationship Id="rId4" Type="http://schemas.openxmlformats.org/officeDocument/2006/relationships/hyperlink" Target="https://app.merimna.uniw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ΚΑΛΛΙΟΠΗ ΚΟΥΖΙΝΟΥ</dc:creator>
  <cp:keywords/>
  <dc:description/>
  <cp:lastModifiedBy>ΚΑΛΛΙΟΠΗ ΚΟΥΖΙΝΟΥ</cp:lastModifiedBy>
  <cp:revision>24</cp:revision>
  <cp:lastPrinted>2025-10-17T11:50:00Z</cp:lastPrinted>
  <dcterms:created xsi:type="dcterms:W3CDTF">2025-10-17T09:26:00Z</dcterms:created>
  <dcterms:modified xsi:type="dcterms:W3CDTF">2025-10-17T12:00:00Z</dcterms:modified>
</cp:coreProperties>
</file>